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070" w:rsidRPr="00E960BB" w:rsidRDefault="00EC2070" w:rsidP="00EC2070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EC2070" w:rsidRPr="009C54AE" w:rsidRDefault="00EC2070" w:rsidP="00EC207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EC2070" w:rsidRPr="009C54AE" w:rsidRDefault="00EC2070" w:rsidP="00EC207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6C00B0">
        <w:rPr>
          <w:rFonts w:ascii="Corbel" w:hAnsi="Corbel"/>
          <w:i/>
          <w:smallCaps/>
          <w:sz w:val="24"/>
          <w:szCs w:val="24"/>
        </w:rPr>
        <w:t>2020/2025</w:t>
      </w:r>
    </w:p>
    <w:p w:rsidR="00EC2070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EC2070" w:rsidRPr="00EA4832" w:rsidRDefault="00EC2070" w:rsidP="00EC207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6C00B0">
        <w:rPr>
          <w:rFonts w:ascii="Corbel" w:hAnsi="Corbel"/>
          <w:sz w:val="20"/>
          <w:szCs w:val="20"/>
        </w:rPr>
        <w:t>20/2021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D63C3" w:rsidRPr="006643EF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43EF">
              <w:rPr>
                <w:rFonts w:ascii="Corbel" w:hAnsi="Corbel"/>
                <w:b w:val="0"/>
                <w:color w:val="auto"/>
                <w:sz w:val="24"/>
                <w:szCs w:val="24"/>
              </w:rPr>
              <w:t>Antropologia kultury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D63C3" w:rsidRPr="009C54AE" w:rsidRDefault="006A170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Nauk Społecznych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D63C3" w:rsidRPr="009C54AE" w:rsidRDefault="006A1704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3C62BE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3C62BE">
            <w:pPr>
              <w:pStyle w:val="Odpowiedzi"/>
              <w:numPr>
                <w:ilvl w:val="0"/>
                <w:numId w:val="7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D63C3" w:rsidRPr="009C54AE" w:rsidRDefault="001B78CA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CD63C3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CD63C3" w:rsidRPr="009C54AE" w:rsidTr="0000181C">
        <w:tc>
          <w:tcPr>
            <w:tcW w:w="2694" w:type="dxa"/>
            <w:vAlign w:val="center"/>
          </w:tcPr>
          <w:p w:rsidR="00CD63C3" w:rsidRPr="009C54AE" w:rsidRDefault="00CD63C3" w:rsidP="00F8026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D63C3" w:rsidRPr="009C54AE" w:rsidRDefault="00CD63C3" w:rsidP="00F8026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EC2070" w:rsidRPr="009C54AE" w:rsidRDefault="00EC2070" w:rsidP="00EC207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EC2070" w:rsidRPr="009C54AE" w:rsidRDefault="00EC2070" w:rsidP="00EC207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C2070" w:rsidRPr="009C54AE" w:rsidTr="0000181C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070" w:rsidRPr="009C54AE" w:rsidRDefault="00EC2070" w:rsidP="0000181C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C2070" w:rsidRPr="009C54AE" w:rsidTr="0000181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070" w:rsidRPr="009C54AE" w:rsidRDefault="00EC2070" w:rsidP="0000181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EC2070" w:rsidRPr="00687F67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EC2070" w:rsidRPr="009C54AE" w:rsidRDefault="00EC2070" w:rsidP="00EC207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C2070" w:rsidRPr="00CD63C3" w:rsidRDefault="00EC2070" w:rsidP="00EC2070">
      <w:pPr>
        <w:rPr>
          <w:rFonts w:ascii="Corbel" w:hAnsi="Corbel"/>
        </w:rPr>
      </w:pPr>
      <w:r w:rsidRPr="00CD63C3">
        <w:rPr>
          <w:rFonts w:ascii="Corbel" w:hAnsi="Corbel"/>
        </w:rPr>
        <w:t>Zaliczenie</w:t>
      </w:r>
      <w:r w:rsidR="005208B0">
        <w:rPr>
          <w:rFonts w:ascii="Corbel" w:hAnsi="Corbel"/>
        </w:rPr>
        <w:t xml:space="preserve"> z oceną</w:t>
      </w:r>
    </w:p>
    <w:p w:rsidR="00EC2070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Z uwagi na interdyscyplinarny charakter przedmiotu wymagana jest znajomość podstaw socj</w:t>
            </w:r>
            <w:r w:rsidRPr="00CD63C3">
              <w:rPr>
                <w:rFonts w:ascii="Corbel" w:hAnsi="Corbel"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sz w:val="24"/>
                <w:szCs w:val="24"/>
              </w:rPr>
              <w:t>logii, pedagogiki ogólnej, filozofii, historii oraz podstawowych zagadnień z zakresu  przemian społecznych i cywilizacyjnych we współczesnym świecie.</w:t>
            </w:r>
          </w:p>
        </w:tc>
      </w:tr>
    </w:tbl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EC2070" w:rsidRPr="00C05F44" w:rsidRDefault="00EC2070" w:rsidP="00EC2070">
      <w:pPr>
        <w:pStyle w:val="Punktygwne"/>
        <w:spacing w:before="0" w:after="0"/>
        <w:rPr>
          <w:rFonts w:ascii="Corbel" w:hAnsi="Corbel"/>
          <w:szCs w:val="24"/>
        </w:rPr>
      </w:pPr>
    </w:p>
    <w:p w:rsidR="00EC2070" w:rsidRDefault="00EC2070" w:rsidP="00EC207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i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zapoznanie studentów z głównym instrumen</w:t>
            </w:r>
            <w:r w:rsidR="003C62BE">
              <w:rPr>
                <w:rFonts w:ascii="Corbel" w:hAnsi="Corbel" w:cs="Calibri"/>
                <w:b w:val="0"/>
                <w:sz w:val="24"/>
                <w:szCs w:val="24"/>
              </w:rPr>
              <w:t xml:space="preserve">tarium pojęciowym antropologii 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(w tym antropologii kultury), jej podstawowymi teoriami i osiągnięciami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>wskazanie na rolę człowieka w tworzeniu i użytkowaniu kultury oraz wpływie kultury na jego życie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zachęcenie słuchaczy do przyjmowania postaw otwartości na inne kultury i społecze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ń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stwa, a także docenienia i troski  o spuściznę kulturową swojego regionu</w:t>
            </w: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 </w:t>
            </w:r>
          </w:p>
        </w:tc>
      </w:tr>
      <w:tr w:rsidR="00EC2070" w:rsidRPr="00CD63C3" w:rsidTr="0000181C">
        <w:tc>
          <w:tcPr>
            <w:tcW w:w="851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D63C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C2070" w:rsidRPr="00CD63C3" w:rsidRDefault="00EC2070" w:rsidP="0000181C">
            <w:pPr>
              <w:pStyle w:val="Podpunkty"/>
              <w:spacing w:before="40" w:after="40"/>
              <w:ind w:left="0"/>
              <w:rPr>
                <w:rFonts w:ascii="Corbel" w:hAnsi="Corbel" w:cs="Calibri"/>
                <w:b w:val="0"/>
                <w:sz w:val="24"/>
                <w:szCs w:val="24"/>
              </w:rPr>
            </w:pPr>
            <w:r w:rsidRPr="00CD63C3">
              <w:rPr>
                <w:rFonts w:ascii="Corbel" w:hAnsi="Corbel" w:cs="Calibri"/>
                <w:b w:val="0"/>
                <w:sz w:val="24"/>
                <w:szCs w:val="24"/>
              </w:rPr>
              <w:t xml:space="preserve">zachęcenie studentów do 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podejmowania dyskusji o procesach społecznych i cywiliz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 w:val="0"/>
                <w:sz w:val="24"/>
                <w:szCs w:val="24"/>
              </w:rPr>
              <w:t>cyjnych, które są konsekwencją oddziaływania kultury, a także poszukiwania przyczyn i kierunków zachodzących zmian cywilizacyjnych, w tym, w swoim środowisku lokalnym</w:t>
            </w:r>
          </w:p>
        </w:tc>
      </w:tr>
    </w:tbl>
    <w:p w:rsidR="00EC2070" w:rsidRPr="00CD63C3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EC2070" w:rsidRDefault="00EC2070" w:rsidP="00EC2070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:rsidR="00EC2070" w:rsidRPr="009C54AE" w:rsidRDefault="00EC2070" w:rsidP="00EC207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C2070" w:rsidRPr="00CD63C3" w:rsidTr="0000181C">
        <w:tc>
          <w:tcPr>
            <w:tcW w:w="1701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CD63C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D63C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Student  scharakteryzuje z perspektywy antropologicznej funkcje i rolę kultury w życiu jednostki i społeczeństw, w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y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jaśni z punktu widzenia antropologii kultury źródła neg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tywnych postaw wobec innego/inności , ale także wskaże na pożądane działania, na rzecz wychowania jako spotk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a</w:t>
            </w:r>
            <w:r w:rsidRPr="00CD63C3">
              <w:rPr>
                <w:rFonts w:ascii="Corbel" w:hAnsi="Corbel" w:cs="TimesNewRoman"/>
                <w:sz w:val="24"/>
                <w:szCs w:val="24"/>
                <w:lang w:eastAsia="pl-PL"/>
              </w:rPr>
              <w:t>nia w dialogu, wychowania do odpowiedzialnej wolności oraz społeczeństwa wielokulturowego.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PPiW.W01</w:t>
            </w:r>
          </w:p>
        </w:tc>
      </w:tr>
      <w:tr w:rsidR="00EC2070" w:rsidRPr="00CD63C3" w:rsidTr="003C62BE"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Student przeanalizuje i zinterpretuje zachowania, tak wł</w:t>
            </w:r>
            <w:r w:rsidRPr="00CD63C3">
              <w:rPr>
                <w:rFonts w:ascii="Corbel" w:hAnsi="Corbel"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sz w:val="24"/>
                <w:szCs w:val="24"/>
              </w:rPr>
              <w:t>sne, jak i innych, w kontekście powszechnie przyjętych wzorców kulturowych opartych o zasady, normy etyczne  i wartości wypływające z  postawy humanistycznej, jako celu wychowania pedagogiki, formułując jednocześnie wnioski i wskazując obszary wymagające zmian oraz działań na rzecz własnego rozwoju i rozwoju innych uczestników życia sp</w:t>
            </w:r>
            <w:r w:rsidRPr="00CD63C3">
              <w:rPr>
                <w:rFonts w:ascii="Corbel" w:hAnsi="Corbel"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sz w:val="24"/>
                <w:szCs w:val="24"/>
              </w:rPr>
              <w:t>łecznego, w tym, w środowisku wielokulturowym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3C62BE" w:rsidRDefault="00EC2070" w:rsidP="003C62BE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EC2070" w:rsidRPr="00CD63C3" w:rsidTr="003C62BE">
        <w:trPr>
          <w:trHeight w:val="1114"/>
        </w:trPr>
        <w:tc>
          <w:tcPr>
            <w:tcW w:w="1701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shd w:val="clear" w:color="auto" w:fill="FFFFFF" w:themeFill="background1"/>
          </w:tcPr>
          <w:p w:rsidR="00EC2070" w:rsidRPr="00CD63C3" w:rsidRDefault="00EC2070" w:rsidP="003C62BE">
            <w:pPr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CD63C3">
              <w:rPr>
                <w:sz w:val="24"/>
                <w:szCs w:val="24"/>
              </w:rPr>
              <w:t>Student  dokonuje refleksji dotyczącej poziomu swojej wi</w:t>
            </w:r>
            <w:r w:rsidRPr="00CD63C3">
              <w:rPr>
                <w:sz w:val="24"/>
                <w:szCs w:val="24"/>
              </w:rPr>
              <w:t>e</w:t>
            </w:r>
            <w:r w:rsidRPr="00CD63C3">
              <w:rPr>
                <w:sz w:val="24"/>
                <w:szCs w:val="24"/>
              </w:rPr>
              <w:t>dzy na temat wagi kultury w życiu człowieka, otwartości na innych i inne kultury/społeczeństwa oraz docenia spuściznę kulturową swojego regionu</w:t>
            </w:r>
          </w:p>
        </w:tc>
        <w:tc>
          <w:tcPr>
            <w:tcW w:w="1873" w:type="dxa"/>
            <w:shd w:val="clear" w:color="auto" w:fill="FFFFFF" w:themeFill="background1"/>
            <w:vAlign w:val="center"/>
          </w:tcPr>
          <w:p w:rsidR="00EC2070" w:rsidRPr="00CD63C3" w:rsidRDefault="00EC2070" w:rsidP="003C62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EC2070" w:rsidRPr="009C54AE" w:rsidRDefault="00EC2070" w:rsidP="00EC2070">
      <w:pPr>
        <w:spacing w:after="0" w:line="240" w:lineRule="auto"/>
        <w:rPr>
          <w:rFonts w:ascii="Corbel" w:hAnsi="Corbel"/>
          <w:sz w:val="24"/>
          <w:szCs w:val="24"/>
        </w:rPr>
      </w:pPr>
    </w:p>
    <w:p w:rsidR="00EC2070" w:rsidRPr="009C54AE" w:rsidRDefault="00EC2070" w:rsidP="00EC207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EC2070" w:rsidRPr="009C54AE" w:rsidRDefault="00EC2070" w:rsidP="00EC207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C2070" w:rsidRPr="009C54AE" w:rsidTr="0000181C">
        <w:tc>
          <w:tcPr>
            <w:tcW w:w="9639" w:type="dxa"/>
          </w:tcPr>
          <w:p w:rsidR="00EC2070" w:rsidRPr="00EC2070" w:rsidRDefault="00EC2070" w:rsidP="0000181C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EC2070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 xml:space="preserve">Spotkanie z innością – u korzeni antropologii.  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Istota antropologii i jej dziedziny - uwagi wstępne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Antropologia kultury jako nauka. Przedmiot badań antropologii kulturowej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Język i jego znaczenie dla kultury - h</w:t>
            </w:r>
            <w:r w:rsidRPr="003C62BE">
              <w:rPr>
                <w:rFonts w:ascii="Corbel" w:hAnsi="Corbel"/>
                <w:sz w:val="24"/>
                <w:szCs w:val="24"/>
              </w:rPr>
              <w:t xml:space="preserve">ipoteza Sapira – </w:t>
            </w:r>
            <w:proofErr w:type="spellStart"/>
            <w:r w:rsidRPr="003C62BE">
              <w:rPr>
                <w:rFonts w:ascii="Corbel" w:hAnsi="Corbel"/>
                <w:sz w:val="24"/>
                <w:szCs w:val="24"/>
              </w:rPr>
              <w:t>Whorfa</w:t>
            </w:r>
            <w:proofErr w:type="spellEnd"/>
            <w:r w:rsidRPr="003C62BE">
              <w:rPr>
                <w:rFonts w:ascii="Corbel" w:hAnsi="Corbel"/>
                <w:sz w:val="24"/>
                <w:szCs w:val="24"/>
              </w:rPr>
              <w:t>. R</w:t>
            </w:r>
            <w:r w:rsidRPr="003C62BE">
              <w:rPr>
                <w:rFonts w:ascii="Corbel" w:hAnsi="Corbel"/>
                <w:bCs/>
                <w:sz w:val="24"/>
                <w:szCs w:val="24"/>
              </w:rPr>
              <w:t>ola frazeologizmów w badaniu językowego obrazu świata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Antropologiczne pojęcie ciała i sposobów obchodzenia się z nim. Ciało jako konstrukt kulturowy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bCs/>
                <w:sz w:val="24"/>
                <w:szCs w:val="24"/>
              </w:rPr>
              <w:t>Przemiany modelu rodziny w kulturze Zachodu</w:t>
            </w:r>
          </w:p>
        </w:tc>
      </w:tr>
      <w:tr w:rsidR="00EC2070" w:rsidRPr="009C54AE" w:rsidTr="0000181C">
        <w:tc>
          <w:tcPr>
            <w:tcW w:w="9639" w:type="dxa"/>
          </w:tcPr>
          <w:p w:rsidR="00EC2070" w:rsidRPr="003C62BE" w:rsidRDefault="00EC2070" w:rsidP="0000181C">
            <w:pPr>
              <w:pStyle w:val="Bibliografia"/>
              <w:spacing w:after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Duch kapitalizmu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CD63C3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CD63C3">
        <w:rPr>
          <w:rFonts w:ascii="Corbel" w:hAnsi="Corbel"/>
          <w:b w:val="0"/>
          <w:smallCaps w:val="0"/>
          <w:szCs w:val="24"/>
        </w:rPr>
        <w:t xml:space="preserve">Ćwiczenia:  analiza tekstów z dyskusją </w:t>
      </w:r>
    </w:p>
    <w:p w:rsidR="00EC2070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EC2070" w:rsidRPr="009C54AE" w:rsidRDefault="00EC2070" w:rsidP="00EC207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C2070" w:rsidRPr="009C54AE" w:rsidTr="0000181C">
        <w:tc>
          <w:tcPr>
            <w:tcW w:w="1985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EC2070" w:rsidRPr="009C54AE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strike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lektur, kolokwium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C2070" w:rsidRPr="009C54AE" w:rsidTr="0000181C">
        <w:tc>
          <w:tcPr>
            <w:tcW w:w="1985" w:type="dxa"/>
            <w:shd w:val="clear" w:color="auto" w:fill="FFFFFF" w:themeFill="background1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shd w:val="clear" w:color="auto" w:fill="FFFFFF" w:themeFill="background1"/>
          </w:tcPr>
          <w:p w:rsidR="00EC2070" w:rsidRPr="00CD63C3" w:rsidRDefault="00EC2070" w:rsidP="0000181C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  <w:lang w:eastAsia="pl-PL"/>
              </w:rPr>
              <w:t>dyskusja w trakcie zajęć i zaliczenia lektur</w:t>
            </w:r>
          </w:p>
        </w:tc>
        <w:tc>
          <w:tcPr>
            <w:tcW w:w="2126" w:type="dxa"/>
            <w:shd w:val="clear" w:color="auto" w:fill="FFFFFF" w:themeFill="background1"/>
          </w:tcPr>
          <w:p w:rsidR="00EC2070" w:rsidRPr="00CD63C3" w:rsidRDefault="00EC2070" w:rsidP="000018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CD63C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C2070" w:rsidRPr="009C54AE" w:rsidTr="0000181C">
        <w:tc>
          <w:tcPr>
            <w:tcW w:w="9670" w:type="dxa"/>
          </w:tcPr>
          <w:p w:rsidR="00EC2070" w:rsidRPr="00D560B5" w:rsidRDefault="00EC2070" w:rsidP="005208B0">
            <w:pPr>
              <w:spacing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>Prz</w:t>
            </w:r>
            <w:r w:rsidR="005208B0">
              <w:rPr>
                <w:rFonts w:ascii="Corbel" w:hAnsi="Corbel"/>
                <w:sz w:val="24"/>
                <w:szCs w:val="24"/>
              </w:rPr>
              <w:t xml:space="preserve">edmiot kończy się zaliczeniem </w:t>
            </w:r>
            <w:r w:rsidRPr="00CD63C3">
              <w:rPr>
                <w:rFonts w:ascii="Corbel" w:hAnsi="Corbel"/>
                <w:sz w:val="24"/>
                <w:szCs w:val="24"/>
              </w:rPr>
              <w:t>z ocen</w:t>
            </w:r>
            <w:r w:rsidR="005208B0">
              <w:rPr>
                <w:rFonts w:ascii="Corbel" w:hAnsi="Corbel"/>
                <w:sz w:val="24"/>
                <w:szCs w:val="24"/>
              </w:rPr>
              <w:t>ą</w:t>
            </w:r>
            <w:r w:rsidRPr="00CD63C3">
              <w:rPr>
                <w:rFonts w:ascii="Corbel" w:hAnsi="Corbel"/>
                <w:sz w:val="24"/>
                <w:szCs w:val="24"/>
              </w:rPr>
              <w:t>. Aby je uzyskać należy uczestniczyć w zajęciach i brać w nich aktywny udział, zaliczyć kolokwium końcowe oraz 2 lektury. Wypełnienie tego kryteriów skutkuje otrzymaniem końcowego zaliczenia</w:t>
            </w:r>
            <w:r w:rsidRPr="00D560B5">
              <w:rPr>
                <w:rFonts w:ascii="Corbel" w:hAnsi="Corbel"/>
              </w:rPr>
              <w:t>.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C2070" w:rsidRPr="009C54AE" w:rsidTr="0000181C">
        <w:tc>
          <w:tcPr>
            <w:tcW w:w="4962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</w:t>
            </w:r>
            <w:r>
              <w:rPr>
                <w:rFonts w:ascii="Corbel" w:hAnsi="Corbel"/>
                <w:sz w:val="24"/>
                <w:szCs w:val="24"/>
              </w:rPr>
              <w:t xml:space="preserve"> - zaliczenie lektury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zajęć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się do kolokwium</w:t>
            </w:r>
          </w:p>
          <w:p w:rsidR="00EC2070" w:rsidRDefault="00EC2070" w:rsidP="00EC2070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przeczytanie obowiązkowych lektur</w:t>
            </w:r>
          </w:p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5</w:t>
            </w:r>
          </w:p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6</w:t>
            </w:r>
          </w:p>
          <w:p w:rsidR="00EC2070" w:rsidRPr="003C62BE" w:rsidRDefault="00EC2070" w:rsidP="0000181C">
            <w:pPr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EC2070" w:rsidRPr="003C62BE" w:rsidRDefault="00CD63C3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EC2070" w:rsidRPr="009C54AE" w:rsidTr="0000181C">
        <w:tc>
          <w:tcPr>
            <w:tcW w:w="4962" w:type="dxa"/>
          </w:tcPr>
          <w:p w:rsidR="00EC2070" w:rsidRPr="009C54A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EC2070" w:rsidRPr="003C62BE" w:rsidRDefault="00EC2070" w:rsidP="000018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62BE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EC2070" w:rsidRPr="009C54AE" w:rsidTr="0000181C">
        <w:trPr>
          <w:trHeight w:val="397"/>
        </w:trPr>
        <w:tc>
          <w:tcPr>
            <w:tcW w:w="3544" w:type="dxa"/>
          </w:tcPr>
          <w:p w:rsidR="00EC2070" w:rsidRPr="009C54AE" w:rsidRDefault="00EC2070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EC2070" w:rsidRPr="009C54AE" w:rsidRDefault="00CD63C3" w:rsidP="000018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EC2070" w:rsidRPr="009C54AE" w:rsidRDefault="00EC2070" w:rsidP="00EC207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 xml:space="preserve">Antropologia kultury: zagadnienia i wybór tekstów </w:t>
            </w:r>
            <w:r w:rsidRPr="00CD63C3">
              <w:rPr>
                <w:rFonts w:ascii="Corbel" w:hAnsi="Corbel"/>
                <w:sz w:val="24"/>
                <w:szCs w:val="24"/>
              </w:rPr>
              <w:t>/ oprac. Grzegorz Go</w:t>
            </w:r>
            <w:r w:rsidRPr="00CD63C3">
              <w:rPr>
                <w:rFonts w:ascii="Corbel" w:hAnsi="Corbel"/>
                <w:sz w:val="24"/>
                <w:szCs w:val="24"/>
              </w:rPr>
              <w:t>d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lewski [i in.]; wstęp i red. Andrzej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Mencwel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Wyd. 4, zm. i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rozsz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. Wa</w:t>
            </w:r>
            <w:r w:rsidRPr="00CD63C3">
              <w:rPr>
                <w:rFonts w:ascii="Corbel" w:hAnsi="Corbel"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szawa: Wydawnictwa Uniwersytetu Warszawskiego,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cop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2005,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Burszta W.J. (1998):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kultury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 xml:space="preserve">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tematy, teorie, interpretacje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Poznań. Wyd. Zysk i S-ka 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Krawczyk E. (2006):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Antropologia kulturowa: klasyczne kierunki, szkoły i orientacje</w:t>
            </w:r>
            <w:r w:rsidRPr="00CD63C3">
              <w:rPr>
                <w:rFonts w:ascii="Corbel" w:hAnsi="Corbel"/>
                <w:sz w:val="24"/>
                <w:szCs w:val="24"/>
              </w:rPr>
              <w:t>. Lublin: Wydaw. Uniwersytetu Marii Curie-Skłodowskiej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Salzman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P.C., Rice P.C. (2009):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Myśleć jak antropolog</w:t>
            </w:r>
            <w:r w:rsidRPr="00CD63C3">
              <w:rPr>
                <w:rFonts w:ascii="Corbel" w:hAnsi="Corbel"/>
                <w:sz w:val="24"/>
                <w:szCs w:val="24"/>
              </w:rPr>
              <w:t>, Gdańsk.  Gda</w:t>
            </w:r>
            <w:r w:rsidRPr="00CD63C3">
              <w:rPr>
                <w:rFonts w:ascii="Corbel" w:hAnsi="Corbel"/>
                <w:sz w:val="24"/>
                <w:szCs w:val="24"/>
              </w:rPr>
              <w:t>ń</w:t>
            </w:r>
            <w:r w:rsidRPr="00CD63C3">
              <w:rPr>
                <w:rFonts w:ascii="Corbel" w:hAnsi="Corbel"/>
                <w:sz w:val="24"/>
                <w:szCs w:val="24"/>
              </w:rPr>
              <w:t>skie Wydaw. Psychologiczne</w:t>
            </w:r>
          </w:p>
        </w:tc>
      </w:tr>
      <w:tr w:rsidR="00EC2070" w:rsidRPr="009C54AE" w:rsidTr="0000181C">
        <w:trPr>
          <w:trHeight w:val="397"/>
        </w:trPr>
        <w:tc>
          <w:tcPr>
            <w:tcW w:w="7513" w:type="dxa"/>
          </w:tcPr>
          <w:p w:rsidR="00EC2070" w:rsidRPr="00CD63C3" w:rsidRDefault="00EC2070" w:rsidP="003C62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63C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Bauman Z. (2004): </w:t>
            </w: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Globalizacja. I co z tego dla ludzi wynika</w:t>
            </w:r>
            <w:r w:rsidRPr="00CD63C3">
              <w:rPr>
                <w:rFonts w:ascii="Corbel" w:hAnsi="Corbel"/>
                <w:sz w:val="24"/>
                <w:szCs w:val="24"/>
              </w:rPr>
              <w:t>, Warszawa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Mielnik, J., Węgłowski, A., Urbański, J., Chojnowska, D.,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Nikodemski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M., Kisielewska, Z., … Pytko, K. (2011).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Egzotyczne cywilizacje. Poznać i zrozumieć człowieka</w:t>
            </w:r>
            <w:r w:rsidRPr="00CD63C3">
              <w:rPr>
                <w:rFonts w:ascii="Corbel" w:hAnsi="Corbel" w:cs="Calibri"/>
                <w:sz w:val="24"/>
                <w:szCs w:val="24"/>
              </w:rPr>
              <w:t xml:space="preserve">. Warszawa: G+J Gruner + </w:t>
            </w: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Jahr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 Polska.</w:t>
            </w:r>
          </w:p>
          <w:p w:rsidR="00EC2070" w:rsidRPr="00CD63C3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 w:cs="Calibri"/>
                <w:sz w:val="24"/>
                <w:szCs w:val="24"/>
              </w:rPr>
              <w:t>Sadler</w:t>
            </w:r>
            <w:proofErr w:type="spellEnd"/>
            <w:r w:rsidRPr="00CD63C3">
              <w:rPr>
                <w:rFonts w:ascii="Corbel" w:hAnsi="Corbel" w:cs="Calibri"/>
                <w:sz w:val="24"/>
                <w:szCs w:val="24"/>
              </w:rPr>
              <w:t xml:space="preserve">, P. (1997). </w:t>
            </w:r>
            <w:r w:rsidRPr="00CD63C3">
              <w:rPr>
                <w:rFonts w:ascii="Corbel" w:hAnsi="Corbel" w:cs="Calibri"/>
                <w:i/>
                <w:iCs/>
                <w:sz w:val="24"/>
                <w:szCs w:val="24"/>
              </w:rPr>
              <w:t>Zarządzanie w społeczeństwie postindustrialnym</w:t>
            </w:r>
            <w:r w:rsidRPr="00CD63C3">
              <w:rPr>
                <w:rFonts w:ascii="Corbel" w:hAnsi="Corbel" w:cs="Calibri"/>
                <w:sz w:val="24"/>
                <w:szCs w:val="24"/>
              </w:rPr>
              <w:t>. Kr</w:t>
            </w:r>
            <w:r w:rsidRPr="00CD63C3">
              <w:rPr>
                <w:rFonts w:ascii="Corbel" w:hAnsi="Corbel" w:cs="Calibri"/>
                <w:sz w:val="24"/>
                <w:szCs w:val="24"/>
              </w:rPr>
              <w:t>a</w:t>
            </w:r>
            <w:r w:rsidRPr="00CD63C3">
              <w:rPr>
                <w:rFonts w:ascii="Corbel" w:hAnsi="Corbel" w:cs="Calibri"/>
                <w:sz w:val="24"/>
                <w:szCs w:val="24"/>
              </w:rPr>
              <w:t>ków: Wydawnictwo Profesjonalnej Szkoły Biznesu.</w:t>
            </w:r>
          </w:p>
          <w:p w:rsidR="00EC2070" w:rsidRPr="003C62BE" w:rsidRDefault="00EC2070" w:rsidP="003C62BE">
            <w:pPr>
              <w:pStyle w:val="Akapitzlist"/>
              <w:numPr>
                <w:ilvl w:val="0"/>
                <w:numId w:val="8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i/>
                <w:iCs/>
                <w:sz w:val="24"/>
                <w:szCs w:val="24"/>
              </w:rPr>
              <w:t>Świat człowieka - świat kultury: antologia tekstów klasycznej antropologii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 / wybór i red. nauk. Ewa Nowicka [i in.]. Warszawa: Wydaw. Naukowe PWN, 2007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LEKTURY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Obowiązkowo:</w:t>
            </w:r>
          </w:p>
          <w:p w:rsidR="00EC2070" w:rsidRPr="00CD63C3" w:rsidRDefault="00EC2070" w:rsidP="003C62BE">
            <w:pPr>
              <w:numPr>
                <w:ilvl w:val="0"/>
                <w:numId w:val="10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Stomma L. (1986).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Antropologia kultury wsi polskiej XIX wieku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, Warsz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wa.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."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Pax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„ </w:t>
            </w:r>
            <w:r w:rsidRPr="00CD63C3">
              <w:rPr>
                <w:rFonts w:ascii="Corbel" w:hAnsi="Corbel"/>
                <w:sz w:val="24"/>
                <w:szCs w:val="24"/>
              </w:rPr>
              <w:t>(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roz.II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- Wierzenia o obcych;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III - Portret z negatywu;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. IV. - Różne wymiary izolacji; </w:t>
            </w: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roz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. VII - Tablice Mendelejewa)</w:t>
            </w:r>
          </w:p>
          <w:p w:rsidR="00EC2070" w:rsidRPr="00CD63C3" w:rsidRDefault="00EC2070" w:rsidP="003C62BE">
            <w:pPr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/>
                <w:bCs/>
                <w:sz w:val="24"/>
                <w:szCs w:val="24"/>
              </w:rPr>
              <w:t>Do wyboru 1.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Ashenburg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 xml:space="preserve"> K.(2009). </w:t>
            </w:r>
            <w:r w:rsidRPr="00CD63C3">
              <w:rPr>
                <w:rFonts w:ascii="Corbel" w:hAnsi="Corbel"/>
                <w:i/>
                <w:sz w:val="24"/>
                <w:szCs w:val="24"/>
              </w:rPr>
              <w:t>Historia brudu</w:t>
            </w:r>
            <w:r w:rsidRPr="00CD63C3">
              <w:rPr>
                <w:rFonts w:ascii="Corbel" w:hAnsi="Corbel"/>
                <w:sz w:val="24"/>
                <w:szCs w:val="24"/>
              </w:rPr>
              <w:t xml:space="preserve">. Warszawa: Wydawnictwo Bellona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Bauer ,W. (2016).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Przez morze z Syryjczykami do Europy.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Wołowiec: 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Gauß, K.-M., &amp; Buras, A. (2005).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Psożercy</w:t>
            </w:r>
            <w:proofErr w:type="spellEnd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 ze </w:t>
            </w:r>
            <w:proofErr w:type="spellStart"/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Svini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Sekowa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: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Kapllani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G., &amp;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Szyler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, E. T. (2009).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Krótki podręcznik przekraczania gr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a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nic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Kącki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Białystok. Biała siła, czarna pamięć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Kingsley P. (2017).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Nowa Odyseja. Opowieść o kryzysie uchodźczym w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lastRenderedPageBreak/>
              <w:t>Europie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Wydawca: Krytyka Polityczna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Kosiński, J.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Malowany ptak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Warszawa: Albatros.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Mazuś M.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Król kebabów i inne zderzenia polsko-obce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Wyd. Wielka Litera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Mikołajewski J. (2015). </w:t>
            </w:r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Wielki przypływ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Wydawnictwo: Dowody na Is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t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nienie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Pollack, M. (2014).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Skażone krajobrazy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Wołowiec: Wydawnictwo Cza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Pollack M. (2011).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Cesarz Ameryki. Wielka ucieczka z Galicji. </w:t>
            </w:r>
            <w:r w:rsidRPr="00CD63C3">
              <w:rPr>
                <w:rFonts w:ascii="Corbel" w:hAnsi="Corbel"/>
                <w:bCs/>
                <w:iCs/>
                <w:sz w:val="24"/>
                <w:szCs w:val="24"/>
              </w:rPr>
              <w:t>Wołowiec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: Wydawnictwo Czarne. 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Prymaka-Oniszk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 A. (2016). </w:t>
            </w:r>
            <w:proofErr w:type="spellStart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>Bieżeństwo</w:t>
            </w:r>
            <w:proofErr w:type="spellEnd"/>
            <w:r w:rsidRPr="00CD63C3">
              <w:rPr>
                <w:rFonts w:ascii="Corbel" w:hAnsi="Corbel"/>
                <w:bCs/>
                <w:i/>
                <w:sz w:val="24"/>
                <w:szCs w:val="24"/>
              </w:rPr>
              <w:t xml:space="preserve"> 1915. Zapomniani uchodźcy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. W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łowiec: Wydawnictwo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(2008).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Jakbyś kamień jadła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Tochman, W. (2010). </w:t>
            </w:r>
            <w:r w:rsidRPr="00CD63C3">
              <w:rPr>
                <w:rFonts w:ascii="Corbel" w:hAnsi="Corbel"/>
                <w:bCs/>
                <w:i/>
                <w:iCs/>
                <w:sz w:val="24"/>
                <w:szCs w:val="24"/>
              </w:rPr>
              <w:t>Dzisiaj narysujemy śmierć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 xml:space="preserve">. Wołowiec: </w:t>
            </w:r>
            <w:proofErr w:type="spellStart"/>
            <w:r w:rsidRPr="00CD63C3">
              <w:rPr>
                <w:rFonts w:ascii="Corbel" w:hAnsi="Corbel"/>
                <w:bCs/>
                <w:sz w:val="24"/>
                <w:szCs w:val="24"/>
              </w:rPr>
              <w:t>Wydawn</w:t>
            </w:r>
            <w:proofErr w:type="spellEnd"/>
            <w:r w:rsidRPr="00CD63C3">
              <w:rPr>
                <w:rFonts w:ascii="Corbel" w:hAnsi="Corbel"/>
                <w:bCs/>
                <w:sz w:val="24"/>
                <w:szCs w:val="24"/>
              </w:rPr>
              <w:t>. Czarne.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Cs/>
                <w:sz w:val="24"/>
                <w:szCs w:val="24"/>
              </w:rPr>
            </w:pPr>
            <w:r w:rsidRPr="00CD63C3">
              <w:rPr>
                <w:rFonts w:ascii="Corbel" w:hAnsi="Corbel"/>
                <w:bCs/>
                <w:sz w:val="24"/>
                <w:szCs w:val="24"/>
              </w:rPr>
              <w:t>Wlekły, M. (2019). Raban! O kościele nie z tej ziemi, Wyd. Agora, Wa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r</w:t>
            </w:r>
            <w:r w:rsidRPr="00CD63C3">
              <w:rPr>
                <w:rFonts w:ascii="Corbel" w:hAnsi="Corbel"/>
                <w:bCs/>
                <w:sz w:val="24"/>
                <w:szCs w:val="24"/>
              </w:rPr>
              <w:t>szawa</w:t>
            </w:r>
          </w:p>
          <w:p w:rsidR="00EC2070" w:rsidRPr="00CD63C3" w:rsidRDefault="00EC2070" w:rsidP="003C62BE">
            <w:pPr>
              <w:numPr>
                <w:ilvl w:val="0"/>
                <w:numId w:val="11"/>
              </w:numPr>
              <w:spacing w:after="0" w:line="240" w:lineRule="auto"/>
              <w:ind w:left="176" w:hanging="142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proofErr w:type="spellStart"/>
            <w:r w:rsidRPr="00CD63C3">
              <w:rPr>
                <w:rFonts w:ascii="Corbel" w:hAnsi="Corbel"/>
                <w:sz w:val="24"/>
                <w:szCs w:val="24"/>
              </w:rPr>
              <w:t>Zadrożyńska</w:t>
            </w:r>
            <w:proofErr w:type="spellEnd"/>
            <w:r w:rsidRPr="00CD63C3">
              <w:rPr>
                <w:rFonts w:ascii="Corbel" w:hAnsi="Corbel"/>
                <w:sz w:val="24"/>
                <w:szCs w:val="24"/>
              </w:rPr>
              <w:t>, A. (1983):  Homo faber i homo ludens: etnologiczny szkic o pracy w kulturach tradycyjnej i współczesnej. Warszawa. PWN</w:t>
            </w:r>
          </w:p>
        </w:tc>
      </w:tr>
    </w:tbl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C2070" w:rsidRPr="009C54AE" w:rsidRDefault="00EC2070" w:rsidP="00EC207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B5263" w:rsidRDefault="00AB5263"/>
    <w:sectPr w:rsidR="00AB526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88" w:rsidRDefault="00C76D88" w:rsidP="00EC2070">
      <w:pPr>
        <w:spacing w:after="0" w:line="240" w:lineRule="auto"/>
      </w:pPr>
      <w:r>
        <w:separator/>
      </w:r>
    </w:p>
  </w:endnote>
  <w:endnote w:type="continuationSeparator" w:id="0">
    <w:p w:rsidR="00C76D88" w:rsidRDefault="00C76D88" w:rsidP="00EC2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88" w:rsidRDefault="00C76D88" w:rsidP="00EC2070">
      <w:pPr>
        <w:spacing w:after="0" w:line="240" w:lineRule="auto"/>
      </w:pPr>
      <w:r>
        <w:separator/>
      </w:r>
    </w:p>
  </w:footnote>
  <w:footnote w:type="continuationSeparator" w:id="0">
    <w:p w:rsidR="00C76D88" w:rsidRDefault="00C76D88" w:rsidP="00EC2070">
      <w:pPr>
        <w:spacing w:after="0" w:line="240" w:lineRule="auto"/>
      </w:pPr>
      <w:r>
        <w:continuationSeparator/>
      </w:r>
    </w:p>
  </w:footnote>
  <w:footnote w:id="1">
    <w:p w:rsidR="00EC2070" w:rsidRDefault="00EC2070" w:rsidP="00EC207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6E30E8"/>
    <w:multiLevelType w:val="hybridMultilevel"/>
    <w:tmpl w:val="CAA6F0B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C40C3A"/>
    <w:multiLevelType w:val="hybridMultilevel"/>
    <w:tmpl w:val="9EC43566"/>
    <w:lvl w:ilvl="0" w:tplc="25ACA52E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38182ADA"/>
    <w:multiLevelType w:val="hybridMultilevel"/>
    <w:tmpl w:val="343076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760CE6"/>
    <w:multiLevelType w:val="hybridMultilevel"/>
    <w:tmpl w:val="F8BA98FE"/>
    <w:lvl w:ilvl="0" w:tplc="C0F86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3BE0AB5"/>
    <w:multiLevelType w:val="hybridMultilevel"/>
    <w:tmpl w:val="CEC263C6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19A024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900D5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9AC13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FA212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725FC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EB0567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E0D4FA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68DE0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95604E"/>
    <w:multiLevelType w:val="hybridMultilevel"/>
    <w:tmpl w:val="DAE07988"/>
    <w:lvl w:ilvl="0" w:tplc="B30C3F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6282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7C95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42AC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2C4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1046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28F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7AB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1220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54A32BB0"/>
    <w:multiLevelType w:val="hybridMultilevel"/>
    <w:tmpl w:val="A784F4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8A7562"/>
    <w:multiLevelType w:val="hybridMultilevel"/>
    <w:tmpl w:val="E1AC03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C35C0A"/>
    <w:multiLevelType w:val="hybridMultilevel"/>
    <w:tmpl w:val="5C405970"/>
    <w:lvl w:ilvl="0" w:tplc="25ACA52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BA06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87D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60CB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B2B2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7826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283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96C0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6DC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759A7599"/>
    <w:multiLevelType w:val="hybridMultilevel"/>
    <w:tmpl w:val="6B9E1FC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8"/>
  </w:num>
  <w:num w:numId="7">
    <w:abstractNumId w:val="7"/>
  </w:num>
  <w:num w:numId="8">
    <w:abstractNumId w:val="5"/>
  </w:num>
  <w:num w:numId="9">
    <w:abstractNumId w:val="1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070"/>
    <w:rsid w:val="00086F54"/>
    <w:rsid w:val="00155FCE"/>
    <w:rsid w:val="001B78CA"/>
    <w:rsid w:val="003C62BE"/>
    <w:rsid w:val="004A3FB7"/>
    <w:rsid w:val="005208B0"/>
    <w:rsid w:val="006A1704"/>
    <w:rsid w:val="006C00B0"/>
    <w:rsid w:val="00807DAD"/>
    <w:rsid w:val="008A4BF1"/>
    <w:rsid w:val="009F7898"/>
    <w:rsid w:val="00AB5263"/>
    <w:rsid w:val="00BA3554"/>
    <w:rsid w:val="00C76D88"/>
    <w:rsid w:val="00CD63C3"/>
    <w:rsid w:val="00EC2070"/>
    <w:rsid w:val="00F5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207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207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207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207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C2070"/>
    <w:rPr>
      <w:vertAlign w:val="superscript"/>
    </w:rPr>
  </w:style>
  <w:style w:type="paragraph" w:customStyle="1" w:styleId="Punktygwne">
    <w:name w:val="Punkty główne"/>
    <w:basedOn w:val="Normalny"/>
    <w:rsid w:val="00EC207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EC207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EC207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EC207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EC207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EC207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EC207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EC2070"/>
    <w:pPr>
      <w:spacing w:after="0" w:line="240" w:lineRule="auto"/>
    </w:pPr>
    <w:rPr>
      <w:rFonts w:ascii="Calibri" w:eastAsia="Calibri" w:hAnsi="Calibri" w:cs="Times New Roman"/>
    </w:rPr>
  </w:style>
  <w:style w:type="paragraph" w:styleId="Bibliografia">
    <w:name w:val="Bibliography"/>
    <w:basedOn w:val="Normalny"/>
    <w:next w:val="Normalny"/>
    <w:uiPriority w:val="37"/>
    <w:semiHidden/>
    <w:unhideWhenUsed/>
    <w:rsid w:val="00EC2070"/>
    <w:rPr>
      <w:rFonts w:asciiTheme="minorHAnsi" w:eastAsiaTheme="minorHAnsi" w:hAnsiTheme="minorHAnsi" w:cstheme="minorBid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C20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C207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F5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1205</Words>
  <Characters>7234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Slawek</dc:creator>
  <cp:lastModifiedBy>user</cp:lastModifiedBy>
  <cp:revision>11</cp:revision>
  <cp:lastPrinted>2020-10-19T06:12:00Z</cp:lastPrinted>
  <dcterms:created xsi:type="dcterms:W3CDTF">2019-10-28T19:45:00Z</dcterms:created>
  <dcterms:modified xsi:type="dcterms:W3CDTF">2021-10-05T09:58:00Z</dcterms:modified>
</cp:coreProperties>
</file>